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692-т</w:t>
      </w: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587-т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19 декабря 2023 года № 587-т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открытым акционерным обществом «Тепло-Энергетик» и поставляемую потребителям городского округа город Лабытнанги Ямало-Ненецкого автономного округа, и долгосрочных параметров регулирования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692-т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587-т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587-т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692-т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открытым 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«Тепло-Энергетик» </w:t>
        <w:br/>
        <w:t xml:space="preserve">и поставляемую потребителям муниципального образования городской округ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«Тепло-Энергетик» 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5422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5987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5987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  <w:highlight w:val="none"/>
              </w:rPr>
              <w:t xml:space="preserve">7558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contextualSpacing/>
        <w:ind w:right="-315"/>
        <w:jc w:val="both"/>
      </w:pP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О</w:t>
      </w:r>
      <w:r>
        <w:rPr>
          <w:rFonts w:ascii="Liberation Sans" w:hAnsi="Liberation Sans" w:cs="Liberation Sans"/>
        </w:rPr>
      </w:r>
      <w:r/>
    </w:p>
    <w:p>
      <w:pPr>
        <w:ind w:left="9214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587-т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1" w:right="0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692-т</w:t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ind w:left="9921" w:right="0" w:firstLine="0"/>
      </w:pPr>
      <w:r/>
      <w:r/>
    </w:p>
    <w:p>
      <w:pPr>
        <w:ind w:left="0" w:right="0" w:firstLine="0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открытым 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«Тепло-Энергетик» </w:t>
        <w:br/>
        <w:t xml:space="preserve">и поставляемую потребителям муниципального образования городской округ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«Тепло-Энергетик»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1585,58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1585,58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1728,28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2073,93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modified xsi:type="dcterms:W3CDTF">2024-12-25T15:02:36Z</dcterms:modified>
</cp:coreProperties>
</file>